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left"/>
        <w:rPr>
          <w:rFonts w:ascii="宋体" w:hAnsi="宋体" w:eastAsia="黑体"/>
          <w:bCs/>
          <w:sz w:val="36"/>
          <w:szCs w:val="21"/>
        </w:rPr>
      </w:pPr>
    </w:p>
    <w:p>
      <w:pPr>
        <w:spacing w:before="312" w:after="312"/>
        <w:jc w:val="center"/>
        <w:rPr>
          <w:rFonts w:ascii="宋体" w:hAnsi="宋体" w:eastAsia="黑体"/>
          <w:bCs/>
          <w:sz w:val="36"/>
          <w:szCs w:val="21"/>
        </w:rPr>
      </w:pPr>
    </w:p>
    <w:p>
      <w:pPr>
        <w:spacing w:before="312" w:after="312"/>
        <w:jc w:val="center"/>
        <w:rPr>
          <w:rFonts w:ascii="宋体" w:hAnsi="宋体" w:eastAsia="黑体"/>
          <w:bCs/>
          <w:sz w:val="36"/>
          <w:szCs w:val="21"/>
        </w:rPr>
      </w:pPr>
    </w:p>
    <w:p>
      <w:pPr>
        <w:spacing w:before="312" w:after="312"/>
        <w:jc w:val="center"/>
        <w:rPr>
          <w:rFonts w:ascii="宋体" w:hAnsi="宋体" w:eastAsia="黑体"/>
          <w:bCs/>
          <w:sz w:val="36"/>
          <w:szCs w:val="21"/>
        </w:rPr>
      </w:pPr>
      <w:r>
        <w:rPr>
          <w:rFonts w:hint="eastAsia" w:ascii="宋体" w:hAnsi="宋体" w:eastAsia="黑体"/>
          <w:bCs/>
          <w:sz w:val="36"/>
          <w:szCs w:val="21"/>
        </w:rPr>
        <w:t>西京学院</w:t>
      </w:r>
    </w:p>
    <w:p>
      <w:pPr>
        <w:spacing w:before="312" w:after="312"/>
        <w:jc w:val="center"/>
        <w:rPr>
          <w:rFonts w:ascii="宋体" w:hAnsi="宋体" w:eastAsia="黑体"/>
          <w:bCs/>
          <w:sz w:val="36"/>
          <w:szCs w:val="21"/>
        </w:rPr>
      </w:pPr>
      <w:bookmarkStart w:id="0" w:name="_GoBack"/>
      <w:r>
        <w:rPr>
          <w:rFonts w:hint="eastAsia" w:ascii="宋体" w:hAnsi="宋体" w:eastAsia="黑体"/>
          <w:bCs/>
          <w:sz w:val="36"/>
          <w:szCs w:val="21"/>
        </w:rPr>
        <w:t>硕士专业学位研究生培养方案</w:t>
      </w:r>
    </w:p>
    <w:p>
      <w:pPr>
        <w:spacing w:before="312" w:after="312"/>
        <w:jc w:val="center"/>
        <w:rPr>
          <w:rFonts w:ascii="宋体" w:hAnsi="宋体" w:eastAsia="黑体"/>
          <w:bCs/>
          <w:sz w:val="36"/>
          <w:szCs w:val="21"/>
        </w:rPr>
      </w:pPr>
      <w:r>
        <w:rPr>
          <w:rFonts w:hint="eastAsia" w:ascii="宋体" w:hAnsi="宋体" w:eastAsia="黑体"/>
          <w:bCs/>
          <w:sz w:val="36"/>
          <w:szCs w:val="21"/>
        </w:rPr>
        <w:t>（2</w:t>
      </w:r>
      <w:r>
        <w:rPr>
          <w:rFonts w:ascii="宋体" w:hAnsi="宋体" w:eastAsia="黑体"/>
          <w:bCs/>
          <w:sz w:val="36"/>
          <w:szCs w:val="21"/>
        </w:rPr>
        <w:t>023</w:t>
      </w:r>
      <w:r>
        <w:rPr>
          <w:rFonts w:hint="eastAsia" w:ascii="宋体" w:hAnsi="宋体" w:eastAsia="黑体"/>
          <w:bCs/>
          <w:sz w:val="36"/>
          <w:szCs w:val="21"/>
        </w:rPr>
        <w:t>版）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3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学位</w:t>
            </w:r>
            <w:r>
              <w:rPr>
                <w:rFonts w:ascii="黑体" w:hAnsi="宋体" w:eastAsia="黑体"/>
                <w:sz w:val="28"/>
                <w:szCs w:val="28"/>
              </w:rPr>
              <w:t>类别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名称</w:t>
            </w:r>
          </w:p>
        </w:tc>
        <w:tc>
          <w:tcPr>
            <w:tcW w:w="37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3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学位</w:t>
            </w:r>
            <w:r>
              <w:rPr>
                <w:rFonts w:ascii="黑体" w:hAnsi="宋体" w:eastAsia="黑体"/>
                <w:sz w:val="28"/>
                <w:szCs w:val="28"/>
              </w:rPr>
              <w:t>类别代码</w:t>
            </w:r>
          </w:p>
        </w:tc>
        <w:tc>
          <w:tcPr>
            <w:tcW w:w="37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spacing w:line="400" w:lineRule="exact"/>
        <w:ind w:firstLine="420" w:firstLineChars="200"/>
        <w:rPr>
          <w:rFonts w:ascii="宋体" w:hAnsi="宋体"/>
          <w:szCs w:val="21"/>
        </w:rPr>
      </w:pPr>
    </w:p>
    <w:p>
      <w:pPr>
        <w:pStyle w:val="12"/>
        <w:spacing w:before="156" w:after="15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spacing w:before="156" w:after="156"/>
      </w:pPr>
      <w:r>
        <w:rPr>
          <w:rFonts w:hint="eastAsia"/>
        </w:rPr>
        <w:t>一、培养目标</w:t>
      </w:r>
    </w:p>
    <w:p>
      <w:pPr>
        <w:pStyle w:val="12"/>
        <w:keepNext w:val="0"/>
        <w:keepLines w:val="0"/>
        <w:spacing w:before="156" w:after="156"/>
        <w:ind w:firstLine="420"/>
        <w:outlineLvl w:val="9"/>
        <w:rPr>
          <w:rFonts w:ascii="仿宋_GB2312" w:hAnsi="Calibri" w:eastAsia="仿宋_GB2312"/>
          <w:sz w:val="21"/>
          <w:szCs w:val="21"/>
        </w:rPr>
      </w:pPr>
      <w:r>
        <w:rPr>
          <w:rFonts w:hint="eastAsia" w:ascii="仿宋_GB2312" w:hAnsi="Calibri" w:eastAsia="仿宋_GB2312"/>
          <w:sz w:val="21"/>
          <w:szCs w:val="21"/>
        </w:rPr>
        <w:t>除基本的专业</w:t>
      </w:r>
      <w:r>
        <w:rPr>
          <w:rFonts w:ascii="仿宋_GB2312" w:hAnsi="Calibri" w:eastAsia="仿宋_GB2312"/>
          <w:sz w:val="21"/>
          <w:szCs w:val="21"/>
        </w:rPr>
        <w:t>能力要求外</w:t>
      </w:r>
      <w:r>
        <w:rPr>
          <w:rFonts w:hint="eastAsia" w:ascii="仿宋_GB2312" w:hAnsi="Calibri" w:eastAsia="仿宋_GB2312"/>
          <w:sz w:val="21"/>
          <w:szCs w:val="21"/>
        </w:rPr>
        <w:t>,培养</w:t>
      </w:r>
      <w:r>
        <w:rPr>
          <w:rFonts w:ascii="仿宋_GB2312" w:hAnsi="Calibri" w:eastAsia="仿宋_GB2312"/>
          <w:sz w:val="21"/>
          <w:szCs w:val="21"/>
        </w:rPr>
        <w:t>目标</w:t>
      </w:r>
      <w:r>
        <w:rPr>
          <w:rFonts w:hint="eastAsia" w:ascii="仿宋_GB2312" w:hAnsi="Calibri" w:eastAsia="仿宋_GB2312"/>
          <w:sz w:val="21"/>
          <w:szCs w:val="21"/>
        </w:rPr>
        <w:t>要落实立德树人，围绕“四个面向”，坚持学生中心、成果导向，体现“匠心精神+艺术素养”。</w:t>
      </w:r>
    </w:p>
    <w:p>
      <w:pPr>
        <w:pStyle w:val="12"/>
        <w:spacing w:before="156" w:after="156"/>
      </w:pPr>
      <w:r>
        <w:rPr>
          <w:rFonts w:hint="eastAsia"/>
        </w:rPr>
        <w:t>二、专业</w:t>
      </w:r>
      <w:r>
        <w:t>学位</w:t>
      </w:r>
      <w:r>
        <w:rPr>
          <w:rFonts w:hint="eastAsia"/>
        </w:rPr>
        <w:t>授权点简介</w:t>
      </w:r>
    </w:p>
    <w:p>
      <w:pPr>
        <w:pStyle w:val="12"/>
        <w:keepNext w:val="0"/>
        <w:keepLines w:val="0"/>
        <w:spacing w:before="156" w:after="156"/>
        <w:ind w:firstLine="420"/>
        <w:outlineLvl w:val="9"/>
        <w:rPr>
          <w:rFonts w:ascii="仿宋_GB2312" w:hAnsi="Calibri" w:eastAsia="仿宋_GB2312"/>
          <w:sz w:val="21"/>
          <w:szCs w:val="21"/>
        </w:rPr>
      </w:pPr>
      <w:r>
        <w:rPr>
          <w:rFonts w:hint="eastAsia" w:ascii="仿宋_GB2312" w:hAnsi="Calibri" w:eastAsia="仿宋_GB2312"/>
          <w:sz w:val="21"/>
          <w:szCs w:val="21"/>
        </w:rPr>
        <w:t>介绍本</w:t>
      </w:r>
      <w:r>
        <w:rPr>
          <w:rFonts w:ascii="仿宋_GB2312" w:hAnsi="Calibri" w:eastAsia="仿宋_GB2312"/>
          <w:sz w:val="21"/>
          <w:szCs w:val="21"/>
        </w:rPr>
        <w:t>学位授权点的历史沿革</w:t>
      </w:r>
      <w:r>
        <w:rPr>
          <w:rFonts w:hint="eastAsia" w:ascii="仿宋_GB2312" w:hAnsi="Calibri" w:eastAsia="仿宋_GB2312"/>
          <w:sz w:val="21"/>
          <w:szCs w:val="21"/>
        </w:rPr>
        <w:t>、科研</w:t>
      </w:r>
      <w:r>
        <w:rPr>
          <w:rFonts w:ascii="仿宋_GB2312" w:hAnsi="Calibri" w:eastAsia="仿宋_GB2312"/>
          <w:sz w:val="21"/>
          <w:szCs w:val="21"/>
        </w:rPr>
        <w:t>平台</w:t>
      </w:r>
      <w:r>
        <w:rPr>
          <w:rFonts w:hint="eastAsia" w:ascii="仿宋_GB2312" w:hAnsi="Calibri" w:eastAsia="仿宋_GB2312"/>
          <w:sz w:val="21"/>
          <w:szCs w:val="21"/>
        </w:rPr>
        <w:t>、</w:t>
      </w:r>
      <w:r>
        <w:rPr>
          <w:rFonts w:ascii="仿宋_GB2312" w:hAnsi="Calibri" w:eastAsia="仿宋_GB2312"/>
          <w:sz w:val="21"/>
          <w:szCs w:val="21"/>
        </w:rPr>
        <w:t>师资</w:t>
      </w:r>
      <w:r>
        <w:rPr>
          <w:rFonts w:hint="eastAsia" w:ascii="仿宋_GB2312" w:hAnsi="Calibri" w:eastAsia="仿宋_GB2312"/>
          <w:sz w:val="21"/>
          <w:szCs w:val="21"/>
        </w:rPr>
        <w:t>力量、专业</w:t>
      </w:r>
      <w:r>
        <w:rPr>
          <w:rFonts w:ascii="仿宋_GB2312" w:hAnsi="Calibri" w:eastAsia="仿宋_GB2312"/>
          <w:sz w:val="21"/>
          <w:szCs w:val="21"/>
        </w:rPr>
        <w:t>优势</w:t>
      </w:r>
      <w:r>
        <w:rPr>
          <w:rFonts w:hint="eastAsia" w:ascii="仿宋_GB2312" w:hAnsi="Calibri" w:eastAsia="仿宋_GB2312"/>
          <w:sz w:val="21"/>
          <w:szCs w:val="21"/>
        </w:rPr>
        <w:t>以及</w:t>
      </w:r>
      <w:r>
        <w:rPr>
          <w:rFonts w:ascii="仿宋_GB2312" w:hAnsi="Calibri" w:eastAsia="仿宋_GB2312"/>
          <w:sz w:val="21"/>
          <w:szCs w:val="21"/>
        </w:rPr>
        <w:t>包含的领域</w:t>
      </w:r>
      <w:r>
        <w:rPr>
          <w:rFonts w:hint="eastAsia" w:ascii="仿宋_GB2312" w:hAnsi="Calibri" w:eastAsia="仿宋_GB2312"/>
          <w:sz w:val="21"/>
          <w:szCs w:val="21"/>
        </w:rPr>
        <w:t>。</w:t>
      </w:r>
    </w:p>
    <w:p>
      <w:pPr>
        <w:pStyle w:val="12"/>
        <w:spacing w:before="156" w:after="156"/>
      </w:pPr>
      <w:r>
        <w:rPr>
          <w:rFonts w:hint="eastAsia"/>
        </w:rPr>
        <w:t>三、专业领域（方向）</w:t>
      </w:r>
    </w:p>
    <w:p>
      <w:pPr>
        <w:pStyle w:val="12"/>
        <w:keepNext w:val="0"/>
        <w:keepLines w:val="0"/>
        <w:spacing w:before="156" w:after="156"/>
        <w:ind w:firstLine="420"/>
        <w:outlineLvl w:val="9"/>
        <w:rPr>
          <w:rFonts w:ascii="仿宋_GB2312" w:hAnsi="Calibri" w:eastAsia="仿宋_GB2312"/>
          <w:sz w:val="21"/>
          <w:szCs w:val="21"/>
        </w:rPr>
      </w:pPr>
      <w:r>
        <w:rPr>
          <w:rFonts w:hint="eastAsia" w:ascii="仿宋_GB2312" w:hAnsi="Calibri" w:eastAsia="仿宋_GB2312"/>
          <w:sz w:val="21"/>
          <w:szCs w:val="21"/>
        </w:rPr>
        <w:t>分领域介绍</w:t>
      </w:r>
      <w:r>
        <w:rPr>
          <w:rFonts w:ascii="仿宋_GB2312" w:hAnsi="Calibri" w:eastAsia="仿宋_GB2312"/>
          <w:sz w:val="21"/>
          <w:szCs w:val="21"/>
        </w:rPr>
        <w:t>其研究方向及特色。要</w:t>
      </w:r>
      <w:r>
        <w:rPr>
          <w:rFonts w:hint="eastAsia" w:ascii="仿宋_GB2312" w:hAnsi="Calibri" w:eastAsia="仿宋_GB2312"/>
          <w:sz w:val="21"/>
          <w:szCs w:val="21"/>
        </w:rPr>
        <w:t>慎重</w:t>
      </w:r>
      <w:r>
        <w:rPr>
          <w:rFonts w:ascii="仿宋_GB2312" w:hAnsi="Calibri" w:eastAsia="仿宋_GB2312"/>
          <w:sz w:val="21"/>
          <w:szCs w:val="21"/>
        </w:rPr>
        <w:t>论证，招生简章将与此保持一致，不宜经常变动。</w:t>
      </w:r>
    </w:p>
    <w:p>
      <w:pPr>
        <w:pStyle w:val="12"/>
        <w:spacing w:before="156" w:after="156"/>
      </w:pPr>
      <w:r>
        <w:rPr>
          <w:rFonts w:hint="eastAsia"/>
        </w:rPr>
        <w:t>四、学习</w:t>
      </w:r>
      <w:r>
        <w:t>方式、学制及最长修业年限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采用全日制学习方式，学制为</w:t>
      </w:r>
      <w:r>
        <w:rPr>
          <w:rFonts w:ascii="仿宋_GB2312" w:eastAsia="仿宋_GB2312"/>
          <w:szCs w:val="21"/>
        </w:rPr>
        <w:t>2.5/3</w:t>
      </w:r>
      <w:r>
        <w:rPr>
          <w:rFonts w:hint="eastAsia" w:ascii="仿宋_GB2312" w:eastAsia="仿宋_GB2312"/>
          <w:szCs w:val="21"/>
        </w:rPr>
        <w:t>年，累计学习年限最长为四年。</w:t>
      </w:r>
    </w:p>
    <w:p>
      <w:pPr>
        <w:pStyle w:val="12"/>
        <w:spacing w:before="156" w:after="156"/>
      </w:pPr>
      <w:r>
        <w:rPr>
          <w:rFonts w:hint="eastAsia"/>
        </w:rPr>
        <w:t>五、培养方式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1.硕士专业学位研究生采用课程学习、专业实践和学位论文相结合的培养方式，要对</w:t>
      </w:r>
      <w:r>
        <w:rPr>
          <w:rFonts w:ascii="仿宋_GB2312" w:eastAsia="仿宋_GB2312"/>
          <w:szCs w:val="21"/>
        </w:rPr>
        <w:t>三个培养阶段的学习方式</w:t>
      </w:r>
      <w:r>
        <w:rPr>
          <w:rFonts w:hint="eastAsia" w:ascii="仿宋_GB2312" w:eastAsia="仿宋_GB2312"/>
          <w:szCs w:val="21"/>
        </w:rPr>
        <w:t>、培养</w:t>
      </w:r>
      <w:r>
        <w:rPr>
          <w:rFonts w:ascii="仿宋_GB2312" w:eastAsia="仿宋_GB2312"/>
          <w:szCs w:val="21"/>
        </w:rPr>
        <w:t>环节</w:t>
      </w:r>
      <w:r>
        <w:rPr>
          <w:rFonts w:hint="eastAsia" w:ascii="仿宋_GB2312" w:eastAsia="仿宋_GB2312"/>
          <w:szCs w:val="21"/>
        </w:rPr>
        <w:t>、</w:t>
      </w:r>
      <w:r>
        <w:rPr>
          <w:rFonts w:ascii="仿宋_GB2312" w:eastAsia="仿宋_GB2312"/>
          <w:szCs w:val="21"/>
        </w:rPr>
        <w:t>时间范围</w:t>
      </w:r>
      <w:r>
        <w:rPr>
          <w:rFonts w:hint="eastAsia" w:ascii="仿宋_GB2312" w:eastAsia="仿宋_GB2312"/>
          <w:szCs w:val="21"/>
        </w:rPr>
        <w:t>进行</w:t>
      </w:r>
      <w:r>
        <w:rPr>
          <w:rFonts w:ascii="仿宋_GB2312" w:eastAsia="仿宋_GB2312"/>
          <w:szCs w:val="21"/>
        </w:rPr>
        <w:t>明确说明。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2.硕士专业学位研究生的培养实行双导师制。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3.</w:t>
      </w:r>
      <w:r>
        <w:rPr>
          <w:rFonts w:hint="eastAsia" w:ascii="仿宋_GB2312" w:eastAsia="仿宋_GB2312"/>
          <w:szCs w:val="21"/>
        </w:rPr>
        <w:t>根据不同学制在第三学期（或第四学期）进行学业中期考核，全面考核研究生思想政治素质、课程学习、专业实践、论文开题等环节的完成情况以及“四个一”学业成果的执行情况，考核通过者进入下一阶段学习；不通过者予以警示，再次考核不通过者予以分流处理。</w:t>
      </w:r>
    </w:p>
    <w:p>
      <w:pPr>
        <w:pStyle w:val="12"/>
        <w:spacing w:before="156" w:after="156"/>
      </w:pPr>
      <w:r>
        <w:rPr>
          <w:rFonts w:hint="eastAsia"/>
        </w:rPr>
        <w:t>六、课程学习与学分设置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参照各专业学位研究生教育指导委员会关于培养方案的指导意见，确定各专业领域应设置的课程及总学分要求。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课程学习是保证研究生培养质量的必备环节，要</w:t>
      </w:r>
      <w:r>
        <w:rPr>
          <w:rFonts w:ascii="仿宋_GB2312" w:eastAsia="仿宋_GB2312"/>
          <w:szCs w:val="21"/>
        </w:rPr>
        <w:t>考虑稳定性</w:t>
      </w:r>
      <w:r>
        <w:rPr>
          <w:rFonts w:hint="eastAsia" w:ascii="仿宋_GB2312" w:eastAsia="仿宋_GB2312"/>
          <w:szCs w:val="21"/>
        </w:rPr>
        <w:t>、支撑</w:t>
      </w:r>
      <w:r>
        <w:rPr>
          <w:rFonts w:ascii="仿宋_GB2312" w:eastAsia="仿宋_GB2312"/>
          <w:szCs w:val="21"/>
        </w:rPr>
        <w:t>性</w:t>
      </w:r>
      <w:r>
        <w:rPr>
          <w:rFonts w:hint="eastAsia" w:ascii="仿宋_GB2312" w:eastAsia="仿宋_GB2312"/>
          <w:szCs w:val="21"/>
        </w:rPr>
        <w:t>、</w:t>
      </w:r>
      <w:r>
        <w:rPr>
          <w:rFonts w:ascii="仿宋_GB2312" w:eastAsia="仿宋_GB2312"/>
          <w:szCs w:val="21"/>
        </w:rPr>
        <w:t>前沿性和关联性</w:t>
      </w:r>
      <w:r>
        <w:rPr>
          <w:rFonts w:hint="eastAsia" w:ascii="仿宋_GB2312" w:eastAsia="仿宋_GB2312"/>
          <w:szCs w:val="21"/>
        </w:rPr>
        <w:t>。课程要</w:t>
      </w:r>
      <w:r>
        <w:rPr>
          <w:rFonts w:ascii="仿宋_GB2312" w:eastAsia="仿宋_GB2312"/>
          <w:szCs w:val="21"/>
        </w:rPr>
        <w:t>体现对研究领域的支撑，要保持相对稳定</w:t>
      </w:r>
      <w:r>
        <w:rPr>
          <w:rFonts w:hint="eastAsia" w:ascii="仿宋_GB2312" w:eastAsia="仿宋_GB2312"/>
          <w:szCs w:val="21"/>
        </w:rPr>
        <w:t>，</w:t>
      </w:r>
      <w:r>
        <w:rPr>
          <w:rFonts w:ascii="仿宋_GB2312" w:eastAsia="仿宋_GB2312"/>
          <w:szCs w:val="21"/>
        </w:rPr>
        <w:t>课程</w:t>
      </w:r>
      <w:r>
        <w:rPr>
          <w:rFonts w:hint="eastAsia" w:ascii="仿宋_GB2312" w:eastAsia="仿宋_GB2312"/>
          <w:szCs w:val="21"/>
        </w:rPr>
        <w:t>内容</w:t>
      </w:r>
      <w:r>
        <w:rPr>
          <w:rFonts w:ascii="仿宋_GB2312" w:eastAsia="仿宋_GB2312"/>
          <w:szCs w:val="21"/>
        </w:rPr>
        <w:t>要体现应用型、创新性，必要时可开设综合专题实验课，前沿知识可通过</w:t>
      </w:r>
      <w:r>
        <w:rPr>
          <w:rFonts w:hint="eastAsia" w:ascii="仿宋_GB2312" w:eastAsia="仿宋_GB2312"/>
          <w:szCs w:val="21"/>
        </w:rPr>
        <w:t>设置</w:t>
      </w:r>
      <w:r>
        <w:rPr>
          <w:rFonts w:ascii="仿宋_GB2312" w:eastAsia="仿宋_GB2312"/>
          <w:szCs w:val="21"/>
        </w:rPr>
        <w:t>专题讲座的形式进行动态跟踪</w:t>
      </w:r>
      <w:r>
        <w:rPr>
          <w:rFonts w:hint="eastAsia" w:ascii="仿宋_GB2312" w:eastAsia="仿宋_GB2312"/>
          <w:szCs w:val="21"/>
        </w:rPr>
        <w:t>，课程</w:t>
      </w:r>
      <w:r>
        <w:rPr>
          <w:rFonts w:ascii="仿宋_GB2312" w:eastAsia="仿宋_GB2312"/>
          <w:szCs w:val="21"/>
        </w:rPr>
        <w:t>的作用</w:t>
      </w:r>
      <w:r>
        <w:rPr>
          <w:rFonts w:hint="eastAsia" w:ascii="仿宋_GB2312" w:eastAsia="仿宋_GB2312"/>
          <w:szCs w:val="21"/>
        </w:rPr>
        <w:t>、</w:t>
      </w:r>
      <w:r>
        <w:rPr>
          <w:rFonts w:ascii="仿宋_GB2312" w:eastAsia="仿宋_GB2312"/>
          <w:szCs w:val="21"/>
        </w:rPr>
        <w:t>课程之间的衔接逻辑要清楚，课程宜</w:t>
      </w:r>
      <w:r>
        <w:rPr>
          <w:rFonts w:hint="eastAsia" w:ascii="仿宋_GB2312" w:eastAsia="仿宋_GB2312"/>
          <w:szCs w:val="21"/>
        </w:rPr>
        <w:t>精</w:t>
      </w:r>
      <w:r>
        <w:rPr>
          <w:rFonts w:ascii="仿宋_GB2312" w:eastAsia="仿宋_GB2312"/>
          <w:szCs w:val="21"/>
        </w:rPr>
        <w:t>不宜多，具体要求可参考</w:t>
      </w:r>
      <w:r>
        <w:rPr>
          <w:rFonts w:hint="eastAsia" w:ascii="仿宋_GB2312" w:eastAsia="仿宋_GB2312"/>
          <w:szCs w:val="21"/>
        </w:rPr>
        <w:t>《西京学院研究生课程教学管理办法》（西京校〔2017〕37号）。实验课程须有</w:t>
      </w:r>
      <w:r>
        <w:rPr>
          <w:rFonts w:ascii="仿宋_GB2312" w:eastAsia="仿宋_GB2312"/>
          <w:szCs w:val="21"/>
        </w:rPr>
        <w:t>实验课程大纲和实验指导书，课内实验的大纲可以在课程大纲</w:t>
      </w:r>
      <w:r>
        <w:rPr>
          <w:rFonts w:hint="eastAsia" w:ascii="仿宋_GB2312" w:eastAsia="仿宋_GB2312"/>
          <w:szCs w:val="21"/>
        </w:rPr>
        <w:t>中</w:t>
      </w:r>
      <w:r>
        <w:rPr>
          <w:rFonts w:ascii="仿宋_GB2312" w:eastAsia="仿宋_GB2312"/>
          <w:szCs w:val="21"/>
        </w:rPr>
        <w:t>，</w:t>
      </w:r>
      <w:r>
        <w:rPr>
          <w:rFonts w:hint="eastAsia" w:ascii="仿宋_GB2312" w:eastAsia="仿宋_GB2312"/>
          <w:szCs w:val="21"/>
        </w:rPr>
        <w:t>专题</w:t>
      </w:r>
      <w:r>
        <w:rPr>
          <w:rFonts w:ascii="仿宋_GB2312" w:eastAsia="仿宋_GB2312"/>
          <w:szCs w:val="21"/>
        </w:rPr>
        <w:t>综合实验课须有专门的实验课程大纲</w:t>
      </w:r>
      <w:r>
        <w:rPr>
          <w:rFonts w:hint="eastAsia" w:ascii="仿宋_GB2312" w:eastAsia="仿宋_GB2312"/>
          <w:szCs w:val="21"/>
        </w:rPr>
        <w:t>。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学时与学分对应关系原则上为18学时/学分，专题</w:t>
      </w:r>
      <w:r>
        <w:rPr>
          <w:rFonts w:ascii="仿宋_GB2312" w:eastAsia="仿宋_GB2312"/>
          <w:szCs w:val="21"/>
        </w:rPr>
        <w:t>讲座</w:t>
      </w:r>
      <w:r>
        <w:rPr>
          <w:rFonts w:hint="eastAsia" w:ascii="仿宋_GB2312" w:eastAsia="仿宋_GB2312"/>
          <w:szCs w:val="21"/>
        </w:rPr>
        <w:t>可</w:t>
      </w:r>
      <w:r>
        <w:rPr>
          <w:rFonts w:ascii="仿宋_GB2312" w:eastAsia="仿宋_GB2312"/>
          <w:szCs w:val="21"/>
        </w:rPr>
        <w:t>按</w:t>
      </w:r>
      <w:r>
        <w:rPr>
          <w:rFonts w:hint="eastAsia" w:ascii="仿宋_GB2312" w:eastAsia="仿宋_GB2312"/>
          <w:szCs w:val="21"/>
        </w:rPr>
        <w:t>0.5学分</w:t>
      </w:r>
      <w:r>
        <w:rPr>
          <w:rFonts w:ascii="仿宋_GB2312" w:eastAsia="仿宋_GB2312"/>
          <w:szCs w:val="21"/>
        </w:rPr>
        <w:t>（</w:t>
      </w:r>
      <w:r>
        <w:rPr>
          <w:rFonts w:hint="eastAsia" w:ascii="仿宋_GB2312" w:eastAsia="仿宋_GB2312"/>
          <w:szCs w:val="21"/>
        </w:rPr>
        <w:t>8学时</w:t>
      </w:r>
      <w:r>
        <w:rPr>
          <w:rFonts w:ascii="仿宋_GB2312" w:eastAsia="仿宋_GB2312"/>
          <w:szCs w:val="21"/>
        </w:rPr>
        <w:t>）</w:t>
      </w:r>
      <w:r>
        <w:rPr>
          <w:rFonts w:hint="eastAsia" w:ascii="仿宋_GB2312" w:eastAsia="仿宋_GB2312"/>
          <w:szCs w:val="21"/>
        </w:rPr>
        <w:t>设置</w:t>
      </w:r>
      <w:r>
        <w:rPr>
          <w:rFonts w:ascii="仿宋_GB2312" w:eastAsia="仿宋_GB2312"/>
          <w:szCs w:val="21"/>
        </w:rPr>
        <w:t>，</w:t>
      </w:r>
      <w:r>
        <w:rPr>
          <w:rFonts w:hint="eastAsia" w:ascii="仿宋_GB2312" w:eastAsia="仿宋_GB2312"/>
          <w:szCs w:val="21"/>
        </w:rPr>
        <w:t>综合实验专题可按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学分（</w:t>
      </w:r>
      <w:r>
        <w:rPr>
          <w:rFonts w:ascii="仿宋_GB2312" w:eastAsia="仿宋_GB2312"/>
          <w:szCs w:val="21"/>
        </w:rPr>
        <w:t>20</w:t>
      </w:r>
      <w:r>
        <w:rPr>
          <w:rFonts w:hint="eastAsia" w:ascii="仿宋_GB2312" w:eastAsia="仿宋_GB2312"/>
          <w:szCs w:val="21"/>
        </w:rPr>
        <w:t>学时）设置。研究生在学期间应至少参与7次学术活动和作1次公开的学术报告，完成</w:t>
      </w:r>
      <w:r>
        <w:rPr>
          <w:rFonts w:ascii="仿宋_GB2312" w:eastAsia="仿宋_GB2312"/>
          <w:szCs w:val="21"/>
        </w:rPr>
        <w:t>后</w:t>
      </w:r>
      <w:r>
        <w:rPr>
          <w:rFonts w:hint="eastAsia" w:ascii="仿宋_GB2312" w:eastAsia="仿宋_GB2312"/>
          <w:szCs w:val="21"/>
        </w:rPr>
        <w:t>做</w:t>
      </w:r>
      <w:r>
        <w:rPr>
          <w:rFonts w:ascii="仿宋_GB2312" w:eastAsia="仿宋_GB2312"/>
          <w:szCs w:val="21"/>
        </w:rPr>
        <w:t>课程化</w:t>
      </w:r>
      <w:r>
        <w:rPr>
          <w:rFonts w:hint="eastAsia" w:ascii="仿宋_GB2312" w:eastAsia="仿宋_GB2312"/>
          <w:szCs w:val="21"/>
        </w:rPr>
        <w:t>处理</w:t>
      </w:r>
      <w:r>
        <w:rPr>
          <w:rFonts w:ascii="仿宋_GB2312" w:eastAsia="仿宋_GB2312"/>
          <w:szCs w:val="21"/>
        </w:rPr>
        <w:t>，给予</w:t>
      </w:r>
      <w:r>
        <w:rPr>
          <w:rFonts w:hint="eastAsia" w:ascii="仿宋_GB2312" w:eastAsia="仿宋_GB2312"/>
          <w:szCs w:val="21"/>
        </w:rPr>
        <w:t>1学分。</w:t>
      </w:r>
    </w:p>
    <w:tbl>
      <w:tblPr>
        <w:tblStyle w:val="7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67"/>
        <w:gridCol w:w="576"/>
        <w:gridCol w:w="1199"/>
        <w:gridCol w:w="2268"/>
        <w:gridCol w:w="851"/>
        <w:gridCol w:w="643"/>
        <w:gridCol w:w="774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tblHeader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类别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</w:t>
            </w:r>
            <w:r>
              <w:rPr>
                <w:rFonts w:ascii="仿宋_GB2312" w:eastAsia="仿宋_GB2312"/>
                <w:b/>
                <w:szCs w:val="21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学时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开课学期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考核方式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公共课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必修课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08001101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中国特色社会主义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理论与实践研究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08001102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自然辩证法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07001101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数学类课程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72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论文写作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工程伦理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keepNext/>
              <w:keepLines/>
              <w:widowControl/>
              <w:spacing w:before="312" w:beforeLines="100"/>
              <w:jc w:val="center"/>
              <w:outlineLvl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选修课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艺术素养课程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keepNext/>
              <w:keepLines/>
              <w:widowControl/>
              <w:spacing w:before="312" w:beforeLines="100"/>
              <w:jc w:val="center"/>
              <w:outlineLvl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专业课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领域一（方向一）</w:t>
            </w:r>
          </w:p>
        </w:tc>
        <w:tc>
          <w:tcPr>
            <w:tcW w:w="5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必修课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选修课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综合实验专题1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前沿讲座课程1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领域二（方向一）</w:t>
            </w:r>
          </w:p>
        </w:tc>
        <w:tc>
          <w:tcPr>
            <w:tcW w:w="5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必修课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选修课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综合实验专题2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前沿讲座课程2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学术报告与讲座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学术报告与讲座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说明</w:t>
            </w:r>
          </w:p>
        </w:tc>
        <w:tc>
          <w:tcPr>
            <w:tcW w:w="715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课程代码可在研究生教务系统查询或咨询学院教研科。</w:t>
            </w:r>
          </w:p>
        </w:tc>
      </w:tr>
    </w:tbl>
    <w:p>
      <w:pPr>
        <w:pStyle w:val="12"/>
        <w:spacing w:before="156" w:after="156"/>
      </w:pPr>
      <w:r>
        <w:rPr>
          <w:rFonts w:hint="eastAsia"/>
        </w:rPr>
        <w:t>七、专业</w:t>
      </w:r>
      <w:r>
        <w:t>实践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专业实践是研究生获得实践经验，提高实践能力的重要抓手，采用集中实践与分段实践相结合的方式。集中实践时间不少于6个月，在校外专业实践基地进行，</w:t>
      </w:r>
      <w:r>
        <w:rPr>
          <w:rFonts w:ascii="仿宋_GB2312" w:eastAsia="仿宋_GB2312"/>
          <w:szCs w:val="21"/>
        </w:rPr>
        <w:t>集中专业实践结束学院组织考核，考核通过给予</w:t>
      </w:r>
      <w:r>
        <w:rPr>
          <w:rFonts w:hint="eastAsia" w:ascii="仿宋_GB2312" w:eastAsia="仿宋_GB2312"/>
          <w:szCs w:val="21"/>
        </w:rPr>
        <w:t>5学分；分段专业实践包括</w:t>
      </w:r>
      <w:r>
        <w:rPr>
          <w:rFonts w:ascii="仿宋_GB2312" w:eastAsia="仿宋_GB2312"/>
          <w:szCs w:val="21"/>
        </w:rPr>
        <w:t>但不限于：竞赛活动、项目研究、社会考察、</w:t>
      </w:r>
      <w:r>
        <w:rPr>
          <w:rFonts w:hint="eastAsia" w:ascii="仿宋_GB2312" w:eastAsia="仿宋_GB2312"/>
          <w:szCs w:val="21"/>
        </w:rPr>
        <w:t>作品</w:t>
      </w:r>
      <w:r>
        <w:rPr>
          <w:rFonts w:ascii="仿宋_GB2312" w:eastAsia="仿宋_GB2312"/>
          <w:szCs w:val="21"/>
        </w:rPr>
        <w:t>展演等</w:t>
      </w:r>
      <w:r>
        <w:rPr>
          <w:rFonts w:hint="eastAsia" w:ascii="仿宋_GB2312" w:eastAsia="仿宋_GB2312"/>
          <w:szCs w:val="21"/>
        </w:rPr>
        <w:t>；专业实践时间不少于1年；</w:t>
      </w:r>
      <w:r>
        <w:rPr>
          <w:rFonts w:ascii="仿宋_GB2312" w:eastAsia="仿宋_GB2312"/>
          <w:szCs w:val="21"/>
        </w:rPr>
        <w:t>应对时间安排、能力要求做出具体规定</w:t>
      </w:r>
      <w:r>
        <w:rPr>
          <w:rFonts w:hint="eastAsia" w:ascii="仿宋_GB2312" w:eastAsia="仿宋_GB2312"/>
          <w:szCs w:val="21"/>
        </w:rPr>
        <w:t>。</w:t>
      </w:r>
    </w:p>
    <w:p>
      <w:pPr>
        <w:pStyle w:val="12"/>
        <w:spacing w:before="156" w:after="156"/>
      </w:pPr>
      <w:r>
        <w:rPr>
          <w:rFonts w:hint="eastAsia"/>
        </w:rPr>
        <w:t>八、学位论文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学位论文类型</w:t>
      </w:r>
      <w:r>
        <w:rPr>
          <w:rFonts w:ascii="仿宋_GB2312" w:eastAsia="仿宋_GB2312"/>
          <w:szCs w:val="21"/>
        </w:rPr>
        <w:t>和考核方式</w:t>
      </w:r>
      <w:r>
        <w:rPr>
          <w:rFonts w:hint="eastAsia" w:ascii="仿宋_GB2312" w:eastAsia="仿宋_GB2312"/>
          <w:szCs w:val="21"/>
        </w:rPr>
        <w:t>可参考各专业学位研究生教育指导委员会编制的专业学位类别（领域）硕士学位基本要求。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仿宋_GB2312" w:eastAsia="仿宋_GB2312"/>
          <w:szCs w:val="21"/>
        </w:rPr>
        <w:t>各授权点应对研究生学位论文工作的全过程，如论文选题、开题、中期检查、预答辩、</w:t>
      </w:r>
      <w:r>
        <w:rPr>
          <w:rFonts w:ascii="仿宋_GB2312" w:eastAsia="仿宋_GB2312"/>
          <w:szCs w:val="21"/>
        </w:rPr>
        <w:t>查重、盲审</w:t>
      </w:r>
      <w:r>
        <w:rPr>
          <w:rFonts w:hint="eastAsia" w:ascii="仿宋_GB2312" w:eastAsia="仿宋_GB2312"/>
          <w:szCs w:val="21"/>
        </w:rPr>
        <w:t>和答辩等不同阶段</w:t>
      </w:r>
      <w:r>
        <w:rPr>
          <w:rFonts w:ascii="仿宋_GB2312" w:eastAsia="仿宋_GB2312"/>
          <w:szCs w:val="21"/>
        </w:rPr>
        <w:t>时间安排、考核要求，参照教指委及学校的有关要求做出具体规定</w:t>
      </w:r>
      <w:r>
        <w:rPr>
          <w:rFonts w:hint="eastAsia" w:ascii="仿宋_GB2312" w:eastAsia="仿宋_GB2312"/>
          <w:szCs w:val="21"/>
        </w:rPr>
        <w:t>。</w:t>
      </w:r>
    </w:p>
    <w:p>
      <w:pPr>
        <w:pStyle w:val="12"/>
        <w:spacing w:before="156" w:after="156"/>
      </w:pPr>
      <w:r>
        <w:rPr>
          <w:rFonts w:hint="eastAsia"/>
        </w:rPr>
        <w:t>九、获得学位应达到的“四个一”学业成果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“四个一”是学校研究生教育的培养特色，各专业类别制定有“四个一”的学业成果要求，作为获得学位的必要</w:t>
      </w:r>
      <w:r>
        <w:rPr>
          <w:rFonts w:ascii="仿宋_GB2312" w:eastAsia="仿宋_GB2312"/>
          <w:szCs w:val="21"/>
        </w:rPr>
        <w:t>条件</w:t>
      </w:r>
      <w:r>
        <w:rPr>
          <w:rFonts w:hint="eastAsia" w:ascii="仿宋_GB2312" w:eastAsia="仿宋_GB2312"/>
          <w:szCs w:val="21"/>
        </w:rPr>
        <w:t>。</w:t>
      </w:r>
    </w:p>
    <w:p>
      <w:pPr>
        <w:pStyle w:val="12"/>
        <w:spacing w:before="156" w:after="156"/>
      </w:pPr>
      <w:r>
        <w:rPr>
          <w:rFonts w:hint="eastAsia"/>
        </w:rPr>
        <w:t>十、毕业与学位授予</w:t>
      </w:r>
    </w:p>
    <w:p>
      <w:pPr>
        <w:spacing w:line="360" w:lineRule="auto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研究生在学校规定学习年限内，修满培养方案规定的学分，</w:t>
      </w:r>
      <w:r>
        <w:rPr>
          <w:rFonts w:hint="eastAsia" w:ascii="仿宋_GB2312" w:hAnsi="黑体" w:eastAsia="仿宋_GB2312"/>
          <w:szCs w:val="21"/>
        </w:rPr>
        <w:t>完成毕业（学位）论文并通过正式答辩，准予毕业并颁发毕业证书；同时</w:t>
      </w:r>
      <w:r>
        <w:rPr>
          <w:rFonts w:hint="eastAsia" w:ascii="仿宋_GB2312" w:eastAsia="仿宋_GB2312"/>
          <w:szCs w:val="21"/>
        </w:rPr>
        <w:t>完成“四个一”培养要求，经学校学位评定委员会审议通过后，授予专业学位并颁发学位证书。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MLzsEBAACNAwAADgAAAGRycy9lMm9Eb2MueG1srVPBjtMwEL0j8Q+W&#10;79TZC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jrMLz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6E615DC1"/>
    <w:rsid w:val="00003727"/>
    <w:rsid w:val="00006407"/>
    <w:rsid w:val="00006B1E"/>
    <w:rsid w:val="00006E88"/>
    <w:rsid w:val="00044F58"/>
    <w:rsid w:val="00072520"/>
    <w:rsid w:val="0007632A"/>
    <w:rsid w:val="000C7448"/>
    <w:rsid w:val="00124289"/>
    <w:rsid w:val="00155746"/>
    <w:rsid w:val="00177239"/>
    <w:rsid w:val="00193D42"/>
    <w:rsid w:val="001A2C89"/>
    <w:rsid w:val="001A4C7D"/>
    <w:rsid w:val="001A6B09"/>
    <w:rsid w:val="001D46A7"/>
    <w:rsid w:val="001E5297"/>
    <w:rsid w:val="001F0811"/>
    <w:rsid w:val="001F1C41"/>
    <w:rsid w:val="001F6E55"/>
    <w:rsid w:val="00214D13"/>
    <w:rsid w:val="002220AD"/>
    <w:rsid w:val="00222D87"/>
    <w:rsid w:val="0026785E"/>
    <w:rsid w:val="002C7546"/>
    <w:rsid w:val="00304902"/>
    <w:rsid w:val="00340129"/>
    <w:rsid w:val="00343F3B"/>
    <w:rsid w:val="00355BE6"/>
    <w:rsid w:val="0036644B"/>
    <w:rsid w:val="003A165E"/>
    <w:rsid w:val="003C0EBC"/>
    <w:rsid w:val="00400383"/>
    <w:rsid w:val="00441055"/>
    <w:rsid w:val="004719D6"/>
    <w:rsid w:val="004726A5"/>
    <w:rsid w:val="00476A1D"/>
    <w:rsid w:val="004C785A"/>
    <w:rsid w:val="004D0E5E"/>
    <w:rsid w:val="004D2062"/>
    <w:rsid w:val="005466C8"/>
    <w:rsid w:val="00582921"/>
    <w:rsid w:val="00585FDF"/>
    <w:rsid w:val="005B1A3D"/>
    <w:rsid w:val="0061154B"/>
    <w:rsid w:val="0064489A"/>
    <w:rsid w:val="00645240"/>
    <w:rsid w:val="00664375"/>
    <w:rsid w:val="0066575D"/>
    <w:rsid w:val="00672887"/>
    <w:rsid w:val="00683750"/>
    <w:rsid w:val="00696BF3"/>
    <w:rsid w:val="006B220E"/>
    <w:rsid w:val="006B4D36"/>
    <w:rsid w:val="006D111C"/>
    <w:rsid w:val="006D4B4F"/>
    <w:rsid w:val="00701B6D"/>
    <w:rsid w:val="00725630"/>
    <w:rsid w:val="007A2328"/>
    <w:rsid w:val="007C5352"/>
    <w:rsid w:val="007F3DB1"/>
    <w:rsid w:val="00816435"/>
    <w:rsid w:val="00820D62"/>
    <w:rsid w:val="00827077"/>
    <w:rsid w:val="008776F9"/>
    <w:rsid w:val="00892BAD"/>
    <w:rsid w:val="008A028C"/>
    <w:rsid w:val="00912B90"/>
    <w:rsid w:val="0092036E"/>
    <w:rsid w:val="00925D4C"/>
    <w:rsid w:val="0094198C"/>
    <w:rsid w:val="0096137B"/>
    <w:rsid w:val="00971EDB"/>
    <w:rsid w:val="009814CB"/>
    <w:rsid w:val="009C299F"/>
    <w:rsid w:val="009C5DEF"/>
    <w:rsid w:val="009F27A4"/>
    <w:rsid w:val="009F48CA"/>
    <w:rsid w:val="00A00732"/>
    <w:rsid w:val="00A615CF"/>
    <w:rsid w:val="00A72F71"/>
    <w:rsid w:val="00AA2A84"/>
    <w:rsid w:val="00AD63C0"/>
    <w:rsid w:val="00AE5191"/>
    <w:rsid w:val="00B31288"/>
    <w:rsid w:val="00B4266C"/>
    <w:rsid w:val="00B50AB6"/>
    <w:rsid w:val="00B51F46"/>
    <w:rsid w:val="00B71125"/>
    <w:rsid w:val="00B73CC0"/>
    <w:rsid w:val="00BD1E23"/>
    <w:rsid w:val="00BD7B38"/>
    <w:rsid w:val="00C0775B"/>
    <w:rsid w:val="00C1005B"/>
    <w:rsid w:val="00C113C9"/>
    <w:rsid w:val="00C1795C"/>
    <w:rsid w:val="00C23547"/>
    <w:rsid w:val="00C32725"/>
    <w:rsid w:val="00C52E74"/>
    <w:rsid w:val="00C818F8"/>
    <w:rsid w:val="00C82D8A"/>
    <w:rsid w:val="00CC33AB"/>
    <w:rsid w:val="00CC7608"/>
    <w:rsid w:val="00CD1933"/>
    <w:rsid w:val="00CD1EA9"/>
    <w:rsid w:val="00CD2C73"/>
    <w:rsid w:val="00D017B1"/>
    <w:rsid w:val="00D02219"/>
    <w:rsid w:val="00D03406"/>
    <w:rsid w:val="00D05CEB"/>
    <w:rsid w:val="00D37F15"/>
    <w:rsid w:val="00D61242"/>
    <w:rsid w:val="00D7360B"/>
    <w:rsid w:val="00D80F96"/>
    <w:rsid w:val="00DD6B7D"/>
    <w:rsid w:val="00DE3463"/>
    <w:rsid w:val="00DE4CDC"/>
    <w:rsid w:val="00E01FE9"/>
    <w:rsid w:val="00E05AFD"/>
    <w:rsid w:val="00E20456"/>
    <w:rsid w:val="00E6221F"/>
    <w:rsid w:val="00E83A0F"/>
    <w:rsid w:val="00EA45C5"/>
    <w:rsid w:val="00EA7FFB"/>
    <w:rsid w:val="00EB0317"/>
    <w:rsid w:val="00EC125A"/>
    <w:rsid w:val="00EC6A82"/>
    <w:rsid w:val="00EC7729"/>
    <w:rsid w:val="00EF5A02"/>
    <w:rsid w:val="00F00ADF"/>
    <w:rsid w:val="00F05364"/>
    <w:rsid w:val="00F16C22"/>
    <w:rsid w:val="00F431FA"/>
    <w:rsid w:val="00F6167E"/>
    <w:rsid w:val="00F84DBF"/>
    <w:rsid w:val="00F874B0"/>
    <w:rsid w:val="00FD623B"/>
    <w:rsid w:val="00FE0FF7"/>
    <w:rsid w:val="00FE24F6"/>
    <w:rsid w:val="00FE4991"/>
    <w:rsid w:val="00FE74C9"/>
    <w:rsid w:val="029848D4"/>
    <w:rsid w:val="03BE410E"/>
    <w:rsid w:val="03FA5D8E"/>
    <w:rsid w:val="082E7F45"/>
    <w:rsid w:val="089D07E2"/>
    <w:rsid w:val="0B7373D0"/>
    <w:rsid w:val="0DC44F54"/>
    <w:rsid w:val="0DF75000"/>
    <w:rsid w:val="104925EC"/>
    <w:rsid w:val="1096290F"/>
    <w:rsid w:val="12105A80"/>
    <w:rsid w:val="13C91C1E"/>
    <w:rsid w:val="13F866C4"/>
    <w:rsid w:val="166E0444"/>
    <w:rsid w:val="18E278AE"/>
    <w:rsid w:val="19151AC7"/>
    <w:rsid w:val="1A8B222F"/>
    <w:rsid w:val="1ABC6E76"/>
    <w:rsid w:val="1DFE1833"/>
    <w:rsid w:val="2075029C"/>
    <w:rsid w:val="23964F12"/>
    <w:rsid w:val="24AB15FF"/>
    <w:rsid w:val="25C141A5"/>
    <w:rsid w:val="29B36EBE"/>
    <w:rsid w:val="29DE7ED8"/>
    <w:rsid w:val="2A0E5267"/>
    <w:rsid w:val="2B0F281A"/>
    <w:rsid w:val="2B27334F"/>
    <w:rsid w:val="2BB245AA"/>
    <w:rsid w:val="2DF343BF"/>
    <w:rsid w:val="2E287958"/>
    <w:rsid w:val="2FCA31B3"/>
    <w:rsid w:val="30591C5D"/>
    <w:rsid w:val="32BE7F7B"/>
    <w:rsid w:val="341B7918"/>
    <w:rsid w:val="373A52AE"/>
    <w:rsid w:val="37C80EAC"/>
    <w:rsid w:val="382D42DF"/>
    <w:rsid w:val="39FA28E7"/>
    <w:rsid w:val="3DAB355E"/>
    <w:rsid w:val="42A15FF5"/>
    <w:rsid w:val="42B601A2"/>
    <w:rsid w:val="4325250B"/>
    <w:rsid w:val="44620F5D"/>
    <w:rsid w:val="455F1241"/>
    <w:rsid w:val="47863A0C"/>
    <w:rsid w:val="479979EA"/>
    <w:rsid w:val="48BC37F7"/>
    <w:rsid w:val="49490EE1"/>
    <w:rsid w:val="4BB01F28"/>
    <w:rsid w:val="4CC56D84"/>
    <w:rsid w:val="4F9E0853"/>
    <w:rsid w:val="53250960"/>
    <w:rsid w:val="583059FA"/>
    <w:rsid w:val="5D7B66E4"/>
    <w:rsid w:val="5F753A89"/>
    <w:rsid w:val="650C4E9E"/>
    <w:rsid w:val="66596056"/>
    <w:rsid w:val="66962958"/>
    <w:rsid w:val="66A03D4A"/>
    <w:rsid w:val="67A6410E"/>
    <w:rsid w:val="6841330B"/>
    <w:rsid w:val="696E79B0"/>
    <w:rsid w:val="6C774115"/>
    <w:rsid w:val="6CE7122D"/>
    <w:rsid w:val="6E615DC1"/>
    <w:rsid w:val="6ED80C7D"/>
    <w:rsid w:val="707029DF"/>
    <w:rsid w:val="715D5C0A"/>
    <w:rsid w:val="72AE5C2A"/>
    <w:rsid w:val="77000835"/>
    <w:rsid w:val="77006814"/>
    <w:rsid w:val="77656122"/>
    <w:rsid w:val="7D293371"/>
    <w:rsid w:val="7E5D3FFF"/>
    <w:rsid w:val="7E9A187A"/>
    <w:rsid w:val="7FA7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样式 标题 2 + 首行缩进:  2 字符 段前: 0.2 行 段后: 0.2 行2"/>
    <w:basedOn w:val="2"/>
    <w:qFormat/>
    <w:uiPriority w:val="0"/>
    <w:pPr>
      <w:spacing w:beforeLines="50" w:afterLines="50" w:line="360" w:lineRule="auto"/>
      <w:ind w:firstLine="480" w:firstLineChars="200"/>
      <w:jc w:val="left"/>
    </w:pPr>
    <w:rPr>
      <w:b w:val="0"/>
      <w:bCs w:val="0"/>
      <w:sz w:val="24"/>
      <w:szCs w:val="20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284</Words>
  <Characters>1621</Characters>
  <Lines>13</Lines>
  <Paragraphs>3</Paragraphs>
  <TotalTime>77</TotalTime>
  <ScaleCrop>false</ScaleCrop>
  <LinksUpToDate>false</LinksUpToDate>
  <CharactersWithSpaces>1902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2018-10-25T08:27:00Z</dcterms:created>
  <dc:creator>herbert_wh</dc:creator>
  <cp:lastModifiedBy>崔平丽</cp:lastModifiedBy>
  <cp:lastPrinted>2023-02-27T02:59:00Z</cp:lastPrinted>
  <dcterms:modified xsi:type="dcterms:W3CDTF">2025-10-12T16:44:01Z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946EC46CD1984458865101189E830FB6</vt:lpwstr>
  </property>
</Properties>
</file>